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4CF6D" w14:textId="63F89D7F" w:rsidR="0009316B" w:rsidRDefault="0009316B" w:rsidP="0009316B">
      <w:pPr>
        <w:pStyle w:val="GvdeMetni"/>
        <w:jc w:val="center"/>
        <w:rPr>
          <w:b/>
          <w:i/>
          <w:color w:val="FF0000"/>
          <w:sz w:val="72"/>
          <w:highlight w:val="lightGray"/>
        </w:rPr>
      </w:pPr>
      <w:r>
        <w:rPr>
          <w:b/>
          <w:i/>
          <w:noProof/>
          <w:color w:val="FF0000"/>
          <w:sz w:val="72"/>
          <w:highlight w:val="lightGray"/>
        </w:rPr>
        <w:drawing>
          <wp:inline distT="0" distB="0" distL="0" distR="0" wp14:anchorId="0D5836DE" wp14:editId="0C3D94DB">
            <wp:extent cx="2362200" cy="238188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31" cy="2386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565E18" w14:textId="77777777" w:rsidR="0009316B" w:rsidRPr="00B6374B" w:rsidRDefault="0009316B" w:rsidP="0009316B">
      <w:pPr>
        <w:spacing w:before="570"/>
        <w:ind w:left="1"/>
        <w:jc w:val="center"/>
        <w:rPr>
          <w:b/>
          <w:i/>
          <w:color w:val="FF0000"/>
          <w:sz w:val="72"/>
          <w:highlight w:val="lightGray"/>
        </w:rPr>
      </w:pPr>
      <w:r w:rsidRPr="00B6374B">
        <w:rPr>
          <w:b/>
          <w:i/>
          <w:color w:val="FF0000"/>
          <w:sz w:val="72"/>
          <w:highlight w:val="lightGray"/>
        </w:rPr>
        <w:t>AĞRI İBRAHİM ÇEÇEN ÜNİVERSİTESİ</w:t>
      </w:r>
    </w:p>
    <w:p w14:paraId="73647BDC" w14:textId="77777777" w:rsidR="0009316B" w:rsidRPr="00B6374B" w:rsidRDefault="0009316B" w:rsidP="0009316B">
      <w:pPr>
        <w:spacing w:before="570"/>
        <w:ind w:left="1"/>
        <w:jc w:val="center"/>
        <w:rPr>
          <w:b/>
          <w:i/>
          <w:color w:val="FF0000"/>
          <w:sz w:val="72"/>
          <w:highlight w:val="lightGray"/>
        </w:rPr>
      </w:pPr>
      <w:r w:rsidRPr="00B6374B">
        <w:rPr>
          <w:b/>
          <w:i/>
          <w:color w:val="FF0000"/>
          <w:sz w:val="72"/>
          <w:highlight w:val="lightGray"/>
        </w:rPr>
        <w:t xml:space="preserve">KALİTE İYİLEŞTİRME </w:t>
      </w:r>
      <w:r w:rsidRPr="00B6374B">
        <w:rPr>
          <w:b/>
          <w:i/>
          <w:color w:val="FF0000"/>
          <w:spacing w:val="-2"/>
          <w:sz w:val="72"/>
          <w:highlight w:val="lightGray"/>
        </w:rPr>
        <w:t>PLANI</w:t>
      </w:r>
    </w:p>
    <w:p w14:paraId="70F08926" w14:textId="02C2514A" w:rsidR="0009316B" w:rsidRPr="00B6374B" w:rsidRDefault="0009316B" w:rsidP="0009316B">
      <w:pPr>
        <w:pStyle w:val="KonuBal"/>
        <w:tabs>
          <w:tab w:val="left" w:pos="6310"/>
          <w:tab w:val="left" w:pos="14063"/>
        </w:tabs>
        <w:rPr>
          <w:b/>
          <w:color w:val="FF0000"/>
        </w:rPr>
      </w:pPr>
      <w:r w:rsidRPr="00B6374B">
        <w:rPr>
          <w:b/>
          <w:color w:val="FF0000"/>
          <w:highlight w:val="lightGray"/>
          <w:shd w:val="clear" w:color="auto" w:fill="BCD5ED"/>
        </w:rPr>
        <w:tab/>
      </w:r>
      <w:r w:rsidRPr="00B6374B">
        <w:rPr>
          <w:b/>
          <w:color w:val="FF0000"/>
          <w:spacing w:val="-4"/>
          <w:highlight w:val="lightGray"/>
          <w:shd w:val="clear" w:color="auto" w:fill="BCD5ED"/>
        </w:rPr>
        <w:t>202</w:t>
      </w:r>
      <w:r w:rsidR="00F341B8">
        <w:rPr>
          <w:b/>
          <w:color w:val="FF0000"/>
          <w:spacing w:val="-4"/>
          <w:shd w:val="clear" w:color="auto" w:fill="BCD5ED"/>
        </w:rPr>
        <w:t>4</w:t>
      </w:r>
      <w:r w:rsidRPr="00B6374B">
        <w:rPr>
          <w:b/>
          <w:color w:val="FF0000"/>
          <w:shd w:val="clear" w:color="auto" w:fill="BCD5ED"/>
        </w:rPr>
        <w:tab/>
      </w:r>
    </w:p>
    <w:p w14:paraId="56CA7C1A" w14:textId="77777777" w:rsidR="0009316B" w:rsidRPr="00B6374B" w:rsidRDefault="0009316B" w:rsidP="0009316B">
      <w:pPr>
        <w:pStyle w:val="KonuBal"/>
        <w:rPr>
          <w:b/>
          <w:color w:val="FF0000"/>
        </w:rPr>
        <w:sectPr w:rsidR="0009316B" w:rsidRPr="00B6374B" w:rsidSect="0009316B">
          <w:footerReference w:type="default" r:id="rId8"/>
          <w:pgSz w:w="16840" w:h="11910" w:orient="landscape"/>
          <w:pgMar w:top="1340" w:right="850" w:bottom="1060" w:left="850" w:header="0" w:footer="879" w:gutter="0"/>
          <w:pgNumType w:start="1"/>
          <w:cols w:space="708"/>
        </w:sectPr>
      </w:pPr>
    </w:p>
    <w:p w14:paraId="3107D0AE" w14:textId="77777777" w:rsidR="0009316B" w:rsidRDefault="0009316B" w:rsidP="0009316B">
      <w:pPr>
        <w:spacing w:before="645"/>
        <w:ind w:left="1"/>
        <w:jc w:val="center"/>
        <w:rPr>
          <w:i/>
          <w:sz w:val="72"/>
        </w:rPr>
      </w:pPr>
      <w:r>
        <w:rPr>
          <w:i/>
          <w:noProof/>
          <w:sz w:val="72"/>
        </w:rPr>
        <w:lastRenderedPageBreak/>
        <w:drawing>
          <wp:inline distT="0" distB="0" distL="0" distR="0" wp14:anchorId="31843D7F" wp14:editId="393803DC">
            <wp:extent cx="2533650" cy="2489077"/>
            <wp:effectExtent l="0" t="0" r="0" b="698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22" cy="249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D77E2" w14:textId="77777777" w:rsidR="0009316B" w:rsidRDefault="0009316B" w:rsidP="0009316B">
      <w:pPr>
        <w:spacing w:before="645"/>
        <w:ind w:left="1"/>
        <w:jc w:val="center"/>
        <w:rPr>
          <w:i/>
          <w:sz w:val="72"/>
        </w:rPr>
      </w:pPr>
      <w:r>
        <w:rPr>
          <w:i/>
          <w:sz w:val="72"/>
        </w:rPr>
        <w:t xml:space="preserve">KALİTE İYİLEŞTİRME </w:t>
      </w:r>
      <w:r>
        <w:rPr>
          <w:i/>
          <w:spacing w:val="-2"/>
          <w:sz w:val="72"/>
        </w:rPr>
        <w:t>PLANI</w:t>
      </w:r>
    </w:p>
    <w:p w14:paraId="324CD652" w14:textId="77777777" w:rsidR="0009316B" w:rsidRDefault="0009316B" w:rsidP="0009316B">
      <w:pPr>
        <w:tabs>
          <w:tab w:val="left" w:pos="1608"/>
          <w:tab w:val="left" w:pos="14063"/>
        </w:tabs>
        <w:jc w:val="center"/>
        <w:rPr>
          <w:i/>
          <w:sz w:val="72"/>
        </w:rPr>
      </w:pPr>
      <w:r>
        <w:rPr>
          <w:color w:val="000000"/>
          <w:sz w:val="72"/>
          <w:shd w:val="clear" w:color="auto" w:fill="DE7368"/>
        </w:rPr>
        <w:tab/>
      </w:r>
      <w:r>
        <w:rPr>
          <w:i/>
          <w:color w:val="000000"/>
          <w:sz w:val="72"/>
          <w:shd w:val="clear" w:color="auto" w:fill="DE7368"/>
        </w:rPr>
        <w:t xml:space="preserve">LİDERLİK, YÖNETİŞİM VE </w:t>
      </w:r>
      <w:r>
        <w:rPr>
          <w:i/>
          <w:color w:val="000000"/>
          <w:spacing w:val="-2"/>
          <w:sz w:val="72"/>
          <w:shd w:val="clear" w:color="auto" w:fill="DE7368"/>
        </w:rPr>
        <w:t>KALİTE</w:t>
      </w:r>
      <w:r>
        <w:rPr>
          <w:i/>
          <w:color w:val="000000"/>
          <w:sz w:val="72"/>
          <w:shd w:val="clear" w:color="auto" w:fill="DE7368"/>
        </w:rPr>
        <w:tab/>
      </w:r>
    </w:p>
    <w:p w14:paraId="4031D03E" w14:textId="48C6CAA0" w:rsidR="0009316B" w:rsidRDefault="0009316B"/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820"/>
        <w:gridCol w:w="1354"/>
        <w:gridCol w:w="5936"/>
        <w:gridCol w:w="2852"/>
      </w:tblGrid>
      <w:tr w:rsidR="005D783C" w:rsidRPr="005D783C" w14:paraId="5766C479" w14:textId="77777777" w:rsidTr="005D783C">
        <w:trPr>
          <w:trHeight w:val="315"/>
          <w:tblHeader/>
        </w:trPr>
        <w:tc>
          <w:tcPr>
            <w:tcW w:w="14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</w:tcPr>
          <w:p w14:paraId="6A3391A1" w14:textId="77743568" w:rsidR="005D783C" w:rsidRPr="005D783C" w:rsidRDefault="005D783C" w:rsidP="005D783C">
            <w:pPr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lastRenderedPageBreak/>
              <w:t>I. Liderlik, Yönetişim ve Kalite</w:t>
            </w:r>
          </w:p>
        </w:tc>
      </w:tr>
      <w:tr w:rsidR="005D783C" w:rsidRPr="005D783C" w14:paraId="7C56B987" w14:textId="77777777" w:rsidTr="005D783C">
        <w:trPr>
          <w:trHeight w:val="315"/>
          <w:tblHeader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0C08A9C" w14:textId="77777777" w:rsidR="005D783C" w:rsidRPr="005D783C" w:rsidRDefault="005D783C" w:rsidP="005D783C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No</w:t>
            </w:r>
          </w:p>
        </w:tc>
        <w:tc>
          <w:tcPr>
            <w:tcW w:w="3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592388C" w14:textId="77777777" w:rsidR="005D783C" w:rsidRPr="005D783C" w:rsidRDefault="005D783C" w:rsidP="005D783C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Dayanak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5901D57" w14:textId="77777777" w:rsidR="005D783C" w:rsidRPr="005D783C" w:rsidRDefault="005D783C" w:rsidP="005D783C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YÖKAK Alt Ölçüt</w:t>
            </w:r>
          </w:p>
        </w:tc>
        <w:tc>
          <w:tcPr>
            <w:tcW w:w="5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4C25B36" w14:textId="77777777" w:rsidR="005D783C" w:rsidRPr="005D783C" w:rsidRDefault="005D783C" w:rsidP="005D783C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İyileştirme Faaliyeti</w:t>
            </w:r>
          </w:p>
        </w:tc>
        <w:tc>
          <w:tcPr>
            <w:tcW w:w="2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F3200D5" w14:textId="77777777" w:rsidR="005D783C" w:rsidRPr="005D783C" w:rsidRDefault="005D783C" w:rsidP="005D783C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Sorumlu Birim</w:t>
            </w:r>
          </w:p>
        </w:tc>
      </w:tr>
      <w:tr w:rsidR="005D783C" w:rsidRPr="005D783C" w14:paraId="733E615B" w14:textId="77777777" w:rsidTr="005D783C">
        <w:trPr>
          <w:trHeight w:val="14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85B31" w14:textId="77777777" w:rsidR="005D783C" w:rsidRPr="005D783C" w:rsidRDefault="005D783C" w:rsidP="005D783C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F370D" w14:textId="77777777" w:rsidR="005D783C" w:rsidRPr="005D783C" w:rsidRDefault="005D783C" w:rsidP="005D783C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Tüm süreçlerde PUKÖ döngüsü çevrimlerinin tüm aşamalarıyla kapatılması ve iç/dış paydaşların kalite güvencesi sistemine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formal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katılımının kurulması.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FB5CE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A.1.2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A.1.4., A.4.1., A.4.2., A.4.3.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E6FA2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-Tüm süreçlerde PUKÖ döngüsünü aktif olarak kullanmak için PUKÖ Uygulama Rehberi hazırlamak. 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 xml:space="preserve">-Paydaşların karar alma, iyileştirme ve bilgilendirilme süreçlerine katılımını sağlayan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formal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mekanizmaları (Danışma Kurulları Yönergesi gibi) oluşturmak.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D84D9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</w:t>
            </w:r>
          </w:p>
        </w:tc>
      </w:tr>
      <w:tr w:rsidR="005D783C" w:rsidRPr="005D783C" w14:paraId="5C95B38D" w14:textId="77777777" w:rsidTr="005D783C">
        <w:trPr>
          <w:trHeight w:val="14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9C8CF" w14:textId="77777777" w:rsidR="005D783C" w:rsidRPr="005D783C" w:rsidRDefault="005D783C" w:rsidP="005D783C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984A4" w14:textId="77777777" w:rsidR="005D783C" w:rsidRPr="005D783C" w:rsidRDefault="005D783C" w:rsidP="005D783C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Öğrencilerin karar alma süreçlerine katılımının daha etkin sağlanması.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26072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A.4.1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A.4.2.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AB93A" w14:textId="4A495EE0" w:rsidR="005D783C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>
              <w:rPr>
                <w:rFonts w:ascii="Arial" w:hAnsi="Arial" w:cs="Arial"/>
                <w:color w:val="1B1C1D"/>
                <w:sz w:val="22"/>
                <w:szCs w:val="22"/>
              </w:rPr>
              <w:t>-Ö</w:t>
            </w:r>
            <w:r w:rsidR="005D783C" w:rsidRPr="005D783C">
              <w:rPr>
                <w:rFonts w:ascii="Arial" w:hAnsi="Arial" w:cs="Arial"/>
                <w:color w:val="1B1C1D"/>
                <w:sz w:val="22"/>
                <w:szCs w:val="22"/>
              </w:rPr>
              <w:t>ğrenci temsilcilerinin ve öğrenci kulüplerinin karar alma mekanizmalarına katılımını resmileştiren ve düzenleyen bir Yönerge/Protokol hazırlamak.</w:t>
            </w:r>
            <w:r w:rsidR="005D783C"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-Öğrenci odaklı komisyonlarda (Eğitim Komisyonları, Kalite Komisyonu) öğrenci temsilciliğini etkinleştirmek.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0A84F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Sağlık, Kültür ve Spor Daire Başkanlığı, Öğrenci İşleri Daire Başkanlığı</w:t>
            </w:r>
          </w:p>
        </w:tc>
      </w:tr>
      <w:tr w:rsidR="005D783C" w:rsidRPr="005D783C" w14:paraId="129B5F37" w14:textId="77777777" w:rsidTr="005D783C">
        <w:trPr>
          <w:trHeight w:val="201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60265" w14:textId="77777777" w:rsidR="005D783C" w:rsidRPr="005D783C" w:rsidRDefault="005D783C" w:rsidP="005D783C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6E0DD" w14:textId="77777777" w:rsidR="005D783C" w:rsidRPr="005D783C" w:rsidRDefault="005D783C" w:rsidP="005D783C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İdari ve destek birimlerinde görev alan personelin kalite sürecine katılımcılığının ve iş akış süreçlerinin tamamlanması ve kurum aidiyetinin geliştirilmesi.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D6803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A.1.4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A.3.4., A.4.1.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BF9E1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-İdari ve destek birimlerinin tüm süreçlerine ait İş Akış Şemaları ve Görev Tanımlarını mevzuata uygun olarak tamamlamak ve yayımlamak.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-İdari personelin kalite süreçlerine katılımını artırmak için İdari Personel Kalite Elçileri uygulamasını başlatmak.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-Kurum aidiyetini artırmak için düzenli olarak İdari Personel Memnuniyet Anketleri uygulamak.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E0ED3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Genel Sekreterlik, Personel Daire Başkanlığı</w:t>
            </w:r>
          </w:p>
        </w:tc>
      </w:tr>
      <w:tr w:rsidR="005D783C" w:rsidRPr="005D783C" w14:paraId="76B9114E" w14:textId="77777777" w:rsidTr="005D783C">
        <w:trPr>
          <w:trHeight w:val="14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07B0C" w14:textId="77777777" w:rsidR="005D783C" w:rsidRPr="005D783C" w:rsidRDefault="005D783C" w:rsidP="005D783C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D72CC" w14:textId="77777777" w:rsidR="005D783C" w:rsidRPr="005D783C" w:rsidRDefault="005D783C" w:rsidP="005D783C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Kurumun yönetim sistemi belgesi alması.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9C443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1.4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B3B78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-İlgili ulusal veya uluslararası bir yönetim sistemi standardı (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örn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 ISO 9001, YÖKAK KAP) için belgelendirme yol haritası hazırlamak.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-Belgelendirme için gerekli dokümantasyon ve alt yapı çalışmalarını başlatmak.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551A0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Üniversite Kalite Komisyonu</w:t>
            </w:r>
          </w:p>
        </w:tc>
      </w:tr>
      <w:tr w:rsidR="005D783C" w:rsidRPr="005D783C" w14:paraId="22BA5CDF" w14:textId="77777777" w:rsidTr="005D783C">
        <w:trPr>
          <w:trHeight w:val="17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9E7A8" w14:textId="77777777" w:rsidR="005D783C" w:rsidRPr="005D783C" w:rsidRDefault="005D783C" w:rsidP="005D783C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D77F" w14:textId="77777777" w:rsidR="005D783C" w:rsidRPr="005D783C" w:rsidRDefault="005D783C" w:rsidP="005D783C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Bilgi Yönetim Sistemi'nin kalite süreçleri ile 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entegrasyonunun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tamamlanması ve insan kaynakları, eğitim-öğretim ve araştırma faaliyetlerinin entegrasyonunun sağlanması.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FF735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A.3.4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A.1.4.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B7E73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-Mevcut Bilgi Yönetim Sistemi'nin (BYS) kalite süreçlerinde (PUKÖ takibi, veri toplama) kullanılmasını sağlayan 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entegrasyon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protokolünü oluşturmak. İnsan kaynakları, eğitim-öğretim (ÖBS) ve araştırma verilerinin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BYS'de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tek bir çatıda toplanmasını sağlayacak 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modül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entegrasyonlarını tamamlamak.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EE595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Bilgi İşlem Daire Başkanlığı</w:t>
            </w:r>
          </w:p>
        </w:tc>
      </w:tr>
      <w:tr w:rsidR="005D783C" w:rsidRPr="005D783C" w14:paraId="7DC2CA23" w14:textId="77777777" w:rsidTr="005D783C">
        <w:trPr>
          <w:trHeight w:val="17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9A563" w14:textId="77777777" w:rsidR="005D783C" w:rsidRPr="005D783C" w:rsidRDefault="005D783C" w:rsidP="005D783C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lastRenderedPageBreak/>
              <w:t>A6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AA0A7" w14:textId="77777777" w:rsidR="005D783C" w:rsidRPr="005D783C" w:rsidRDefault="005D783C" w:rsidP="005D783C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Kurumsal iç ve dış değerlendirme sürecine yönelik bilgilerin yapılandırılarak veri toplama rehberinin ve sıklığının tanımlanması.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210C5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A.1.4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A.3.4.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A10D5" w14:textId="51AFB8BE" w:rsidR="005D783C" w:rsidRPr="005D783C" w:rsidRDefault="005D783C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- Kurumsal iç ve dış değerlendirme süreçlerinde kullanılacak </w:t>
            </w:r>
            <w:r w:rsidR="00593672">
              <w:rPr>
                <w:rFonts w:ascii="Arial" w:hAnsi="Arial" w:cs="Arial"/>
                <w:color w:val="1B1C1D"/>
                <w:sz w:val="22"/>
                <w:szCs w:val="22"/>
              </w:rPr>
              <w:t>performans göstergelerinin (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PG) veri toplama rehberini (veri kaynağı, toplama sıklığ</w:t>
            </w:r>
            <w:r w:rsidR="00593672">
              <w:rPr>
                <w:rFonts w:ascii="Arial" w:hAnsi="Arial" w:cs="Arial"/>
                <w:color w:val="1B1C1D"/>
                <w:sz w:val="22"/>
                <w:szCs w:val="22"/>
              </w:rPr>
              <w:t>ı, sorumlu birim) oluşturmak.</w:t>
            </w:r>
            <w:r w:rsidR="00593672">
              <w:rPr>
                <w:rFonts w:ascii="Arial" w:hAnsi="Arial" w:cs="Arial"/>
                <w:color w:val="1B1C1D"/>
                <w:sz w:val="22"/>
                <w:szCs w:val="22"/>
              </w:rPr>
              <w:br/>
              <w:t>-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PG'lerin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toplama takvimini ve bu takvime uyumu izleyen bir mekanizma kurmak.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4AF37" w14:textId="77777777" w:rsidR="005D783C" w:rsidRPr="005D783C" w:rsidRDefault="005D783C" w:rsidP="005D783C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Koordinatörlüğü, Strateji Geliştirme Daire Başkanlığı</w:t>
            </w:r>
          </w:p>
        </w:tc>
      </w:tr>
      <w:tr w:rsidR="00593672" w:rsidRPr="005D783C" w14:paraId="7BBC6E0F" w14:textId="77777777" w:rsidTr="005D783C">
        <w:trPr>
          <w:trHeight w:val="5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2545C" w14:textId="13D85F45" w:rsidR="00593672" w:rsidRPr="005D783C" w:rsidRDefault="00593672" w:rsidP="00593672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B3E7D" w14:textId="77777777" w:rsidR="00593672" w:rsidRPr="005D783C" w:rsidRDefault="00593672" w:rsidP="00593672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Stratejiler ve hedeflerin 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misyon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ve vizyon ile ilişkili olması.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91EFE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A.2.1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A.2.3.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6F174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-Stratejik hedeflerin 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misyonla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uyumunu izleyen yıllık bir izleme toplantısı yapılması ve sonuçların üst yönetime raporlanması.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9E0A9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Strateji Geliştirme Daire Başkanlığı</w:t>
            </w:r>
          </w:p>
        </w:tc>
      </w:tr>
      <w:tr w:rsidR="00593672" w:rsidRPr="005D783C" w14:paraId="2FB5E189" w14:textId="77777777" w:rsidTr="005D783C">
        <w:trPr>
          <w:trHeight w:val="11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73E46" w14:textId="134F502B" w:rsidR="00593672" w:rsidRPr="005D783C" w:rsidRDefault="00593672" w:rsidP="00593672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CAA9F" w14:textId="77777777" w:rsidR="00593672" w:rsidRPr="005D783C" w:rsidRDefault="00593672" w:rsidP="00593672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Uluslararasılaşma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konusunda bir strateji belirlemiş olması.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A4929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2.1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59AF5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Uluslararasılaşma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Politikasının izlenmesi ve iyileştirilmesi için yol haritası kapsamında çalışmaların yürütülmesi.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-Uluslararası protokollerin niceliği ve niteliği ile bu protokoller kapsamındaki faaliyetlerin düzenli olarak izlenmesi.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6ACF3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Dış İlişkiler Ofisi</w:t>
            </w:r>
          </w:p>
        </w:tc>
      </w:tr>
      <w:tr w:rsidR="00593672" w:rsidRPr="005D783C" w14:paraId="6ECE32F8" w14:textId="77777777" w:rsidTr="005D783C">
        <w:trPr>
          <w:trHeight w:val="14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A16F7" w14:textId="32E6AE94" w:rsidR="00593672" w:rsidRPr="005D783C" w:rsidRDefault="00593672" w:rsidP="00593672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E58A" w14:textId="77777777" w:rsidR="00593672" w:rsidRPr="005D783C" w:rsidRDefault="00593672" w:rsidP="00593672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Kalite Yönetimi çalışmalarına tüm birimlerin farklı yöntemlerle katılımının/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temsiliyetinin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sağlanması.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59083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A.1.2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A.1.4.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5BFF7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-Kalite Komisyonu faaliyetleri hakkında birim yöneticileri ve birim kalite komisyonlarını her altı ayda bir çevrim içi/yüz yüze bilgilendirme toplantıları yapılması.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-Akademik ve idari birimlere, Kalite Koordinatörlerinden bir üyenin danışman (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mentor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) olarak görevlendirilmesi.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2406B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Üniversite Kalite Komisyonu</w:t>
            </w:r>
          </w:p>
        </w:tc>
      </w:tr>
      <w:tr w:rsidR="00593672" w:rsidRPr="005D783C" w14:paraId="57839EDE" w14:textId="77777777" w:rsidTr="005D783C">
        <w:trPr>
          <w:trHeight w:val="11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635B9" w14:textId="4029043E" w:rsidR="00593672" w:rsidRPr="005D783C" w:rsidRDefault="00593672" w:rsidP="00593672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7EE1E" w14:textId="77777777" w:rsidR="00593672" w:rsidRPr="005D783C" w:rsidRDefault="00593672" w:rsidP="00593672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İzlenen performans göstergeleri içerisinde anahtar performans göstergelerinin belirlenmiş olması.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F519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A.2.3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A.3.4.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5B831" w14:textId="65D3BAB6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-Belirlenen </w:t>
            </w:r>
            <w:r>
              <w:rPr>
                <w:rFonts w:ascii="Arial" w:hAnsi="Arial" w:cs="Arial"/>
                <w:color w:val="1B1C1D"/>
                <w:sz w:val="22"/>
                <w:szCs w:val="22"/>
              </w:rPr>
              <w:t>performans göstergelerinin (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PG) değerlerini toplama ve paylaşma sistemini Bilgi Yönetim Sistemi ile 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entegre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etmek.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8103B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Bilgi İşlem Daire Başkanlığı, Strateji Geliştirme Daire Başkanlığı</w:t>
            </w:r>
          </w:p>
        </w:tc>
      </w:tr>
      <w:tr w:rsidR="00593672" w:rsidRPr="005D783C" w14:paraId="027B2B51" w14:textId="77777777" w:rsidTr="005D783C">
        <w:trPr>
          <w:trHeight w:val="14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2992A" w14:textId="5DB78FB3" w:rsidR="00593672" w:rsidRPr="005D783C" w:rsidRDefault="00593672" w:rsidP="00593672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ADD64" w14:textId="77777777" w:rsidR="00593672" w:rsidRPr="005D783C" w:rsidRDefault="00593672" w:rsidP="00593672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Yerel yönetimler, STK'lar gibi kurumların kurumsal gelişime katkıda bulunuyor olması.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C05FF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A.4.2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D.1.2.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EB1C0" w14:textId="02FC3521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-Dış paydaşlarla ilgili her türlü çalışmanın kayıtlara gireceği Danışma Kurulları Yönergesini hazırlayarak faaliyetlere başlanması.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5C960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Üniversite Kalite Komisyonu, Genel Sekreterlik</w:t>
            </w:r>
          </w:p>
        </w:tc>
      </w:tr>
      <w:tr w:rsidR="00593672" w:rsidRPr="005D783C" w14:paraId="3A9BE32F" w14:textId="77777777" w:rsidTr="005D783C">
        <w:trPr>
          <w:trHeight w:val="11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961D2" w14:textId="297E0602" w:rsidR="00593672" w:rsidRPr="005D783C" w:rsidRDefault="00593672" w:rsidP="00593672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lastRenderedPageBreak/>
              <w:t>A12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A9341" w14:textId="77777777" w:rsidR="00593672" w:rsidRPr="005D783C" w:rsidRDefault="00593672" w:rsidP="00593672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Yönetim ve idari yapının yasa ve yönetmeliklerle tanımlandığı şekilde yürütülmesi.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FE68E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3.4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C8311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-İş akış şemalarının ve görev tanımlarının güncel tutularak birim internet sayfalarında yayınlanması.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Organizasyonel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yapısına ilişkin ihtiyaç alanları ve iyileştirme faaliyetlerinin paydaşlar ile birlikte değerlendirilmesi.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D06D4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Strateji Geliştirme Daire Başkanlığı</w:t>
            </w:r>
          </w:p>
        </w:tc>
      </w:tr>
      <w:tr w:rsidR="00593672" w:rsidRPr="005D783C" w14:paraId="74EDC2FF" w14:textId="77777777" w:rsidTr="005D783C">
        <w:trPr>
          <w:trHeight w:val="17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67B7C" w14:textId="053557B9" w:rsidR="00593672" w:rsidRPr="005D783C" w:rsidRDefault="00593672" w:rsidP="00593672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BF8BA" w14:textId="77777777" w:rsidR="00593672" w:rsidRPr="005D783C" w:rsidRDefault="00593672" w:rsidP="00593672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Eğitim, araştırma ve geliştirme faaliyetleri ile ilgili güncel verilerin kamuoyuyla paylaşılması.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19F48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A.1.4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A.2.3.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87156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- Misyon, 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vizyon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ve politikalara yönelik farkındalık çalışmaları yürütülmesi amacıyla; farklı iletişim araçları ile (sosyal medya, e-posta, pano vb.) duyurulması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-Kamuoyunu bilgilendirme ve hesap verebilirlik amacıyla kurulan mekanizmaların izlenmesi ve paydaş görüşleri doğrultusunda iyileştirilmesi.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0C477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Tüm Birimler, Üniversite Kalite Komisyonu</w:t>
            </w:r>
          </w:p>
        </w:tc>
      </w:tr>
      <w:tr w:rsidR="00593672" w:rsidRPr="005D783C" w14:paraId="767A2180" w14:textId="77777777" w:rsidTr="005D783C">
        <w:trPr>
          <w:trHeight w:val="14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EB290" w14:textId="5BACA2B7" w:rsidR="00593672" w:rsidRPr="005D783C" w:rsidRDefault="00593672" w:rsidP="00593672">
            <w:pPr>
              <w:ind w:firstLineChars="100" w:firstLine="220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516F4" w14:textId="77777777" w:rsidR="00593672" w:rsidRPr="005D783C" w:rsidRDefault="00593672" w:rsidP="00593672">
            <w:pPr>
              <w:ind w:hanging="2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Kurum yöneticilerinin liderlik özelliklerinin liyakat ve ekip çalışmasına yatkınlık 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kriterlerine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dayalı değerlendirilmesi.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E63E8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A.3.1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A.3.2.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BB03F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-Yönetici ve personelin liderlik yetkinliklerinin geliştirilmesi için hizmet içi eğitim faaliyetlerinin düzenlenmesi.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-Yenilikçi Eğitim-Öğretim faaliyetlerinin teşvik ve ödüllendirilmesi için bir yönerge hazırlanarak yürürlüğe konulması.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2932" w14:textId="77777777" w:rsidR="00593672" w:rsidRPr="005D783C" w:rsidRDefault="00593672" w:rsidP="00593672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Personel Daire Başkanlığı, Kalite Koordinatörlüğü</w:t>
            </w:r>
          </w:p>
        </w:tc>
      </w:tr>
    </w:tbl>
    <w:p w14:paraId="2E8A9CD7" w14:textId="481C1401" w:rsidR="00AD79BE" w:rsidRDefault="00AD79BE" w:rsidP="005D783C"/>
    <w:p w14:paraId="02AAAE15" w14:textId="125F5A75" w:rsidR="0009316B" w:rsidRPr="0009316B" w:rsidRDefault="0009316B" w:rsidP="0009316B">
      <w:pPr>
        <w:jc w:val="center"/>
      </w:pPr>
      <w:r>
        <w:br w:type="page"/>
      </w:r>
      <w:r>
        <w:rPr>
          <w:i/>
          <w:noProof/>
          <w:sz w:val="72"/>
        </w:rPr>
        <w:lastRenderedPageBreak/>
        <w:drawing>
          <wp:inline distT="0" distB="0" distL="0" distR="0" wp14:anchorId="6D54A470" wp14:editId="63354117">
            <wp:extent cx="2533650" cy="2489077"/>
            <wp:effectExtent l="0" t="0" r="0" b="6985"/>
            <wp:docPr id="1560005627" name="Resim 156000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22" cy="249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51FBD" w14:textId="77777777" w:rsidR="0009316B" w:rsidRDefault="0009316B" w:rsidP="0009316B">
      <w:pPr>
        <w:spacing w:before="645"/>
        <w:ind w:left="1"/>
        <w:jc w:val="center"/>
        <w:rPr>
          <w:i/>
          <w:sz w:val="72"/>
        </w:rPr>
      </w:pPr>
      <w:r>
        <w:rPr>
          <w:i/>
          <w:sz w:val="72"/>
        </w:rPr>
        <w:t xml:space="preserve">KALİTE İYİLEŞTİRME </w:t>
      </w:r>
      <w:r>
        <w:rPr>
          <w:i/>
          <w:spacing w:val="-2"/>
          <w:sz w:val="72"/>
        </w:rPr>
        <w:t>PLANI</w:t>
      </w:r>
    </w:p>
    <w:p w14:paraId="38FF73C6" w14:textId="5CA7E704" w:rsidR="0009316B" w:rsidRDefault="0009316B" w:rsidP="0009316B">
      <w:pPr>
        <w:tabs>
          <w:tab w:val="left" w:pos="1608"/>
          <w:tab w:val="left" w:pos="14063"/>
        </w:tabs>
        <w:jc w:val="center"/>
        <w:rPr>
          <w:i/>
          <w:sz w:val="72"/>
        </w:rPr>
      </w:pPr>
      <w:r>
        <w:rPr>
          <w:i/>
          <w:color w:val="000000"/>
          <w:sz w:val="72"/>
          <w:shd w:val="clear" w:color="auto" w:fill="DE7368"/>
        </w:rPr>
        <w:t>Eğitim ve Öğretim</w:t>
      </w:r>
    </w:p>
    <w:p w14:paraId="186187DD" w14:textId="3B0942CE" w:rsidR="0009316B" w:rsidRDefault="0009316B"/>
    <w:p w14:paraId="3C9A75EE" w14:textId="77777777" w:rsidR="0009316B" w:rsidRDefault="0009316B"/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3774"/>
        <w:gridCol w:w="1276"/>
        <w:gridCol w:w="6095"/>
        <w:gridCol w:w="2835"/>
      </w:tblGrid>
      <w:tr w:rsidR="005D783C" w:rsidRPr="005D783C" w14:paraId="40F0BAD8" w14:textId="77777777" w:rsidTr="005D783C">
        <w:trPr>
          <w:trHeight w:val="615"/>
          <w:tblHeader/>
        </w:trPr>
        <w:tc>
          <w:tcPr>
            <w:tcW w:w="14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3EAC768" w14:textId="53BEEC40" w:rsidR="005D783C" w:rsidRPr="005D783C" w:rsidRDefault="005D783C" w:rsidP="005D783C">
            <w:pPr>
              <w:ind w:firstLineChars="100" w:firstLine="220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lastRenderedPageBreak/>
              <w:t>II. Eğitim ve Öğretim</w:t>
            </w:r>
          </w:p>
        </w:tc>
      </w:tr>
      <w:tr w:rsidR="005D783C" w:rsidRPr="005D783C" w14:paraId="33A9D20F" w14:textId="77777777" w:rsidTr="005D783C">
        <w:trPr>
          <w:trHeight w:val="615"/>
          <w:tblHeader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298FDCC" w14:textId="77777777" w:rsidR="005D783C" w:rsidRPr="005D783C" w:rsidRDefault="005D783C" w:rsidP="005D783C">
            <w:pPr>
              <w:ind w:firstLineChars="100" w:firstLine="220"/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No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24D3614" w14:textId="77777777" w:rsidR="005D783C" w:rsidRPr="005D783C" w:rsidRDefault="005D783C" w:rsidP="005D783C">
            <w:pPr>
              <w:ind w:firstLineChars="100" w:firstLine="220"/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Gelişmeye Açık Yön (Dayanak)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720753B" w14:textId="77777777" w:rsidR="005D783C" w:rsidRPr="005D783C" w:rsidRDefault="005D783C" w:rsidP="005D783C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YÖKAK Alt Ölçüt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33E3BB7" w14:textId="77777777" w:rsidR="005D783C" w:rsidRPr="005D783C" w:rsidRDefault="005D783C" w:rsidP="005D783C">
            <w:pPr>
              <w:ind w:firstLineChars="100" w:firstLine="220"/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İyileştirme Faaliyeti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585A8CE" w14:textId="77777777" w:rsidR="005D783C" w:rsidRPr="005D783C" w:rsidRDefault="005D783C" w:rsidP="005D783C">
            <w:pPr>
              <w:ind w:firstLineChars="100" w:firstLine="220"/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Sorumlu Birim</w:t>
            </w:r>
          </w:p>
        </w:tc>
      </w:tr>
      <w:tr w:rsidR="00E63DDE" w:rsidRPr="005D783C" w14:paraId="643FEA2D" w14:textId="77777777" w:rsidTr="005D783C">
        <w:trPr>
          <w:trHeight w:val="172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714C3" w14:textId="795241E2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42A53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TYYÇ, program yeterlilikleri ve ders öğrenme çıktıları ilişkilendirmesi gibi çalışmaların tüm programlarda uygulanması.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86F71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B.1.3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B.1.4.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83238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-Tüm programlar için program yeterliliklerinin TYYÇ ile ilişkilendirme matrislerini oluşturmak ve yayınlamak.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-Tüm derslerin öğrenme çıktıları ile program yeterlilikleri arasındaki ilişki matrislerini güncellemek.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B650A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Akademik Birimler</w:t>
            </w:r>
          </w:p>
        </w:tc>
      </w:tr>
      <w:tr w:rsidR="00E63DDE" w:rsidRPr="005D783C" w14:paraId="120B4BC2" w14:textId="77777777" w:rsidTr="005D783C">
        <w:trPr>
          <w:trHeight w:val="2010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6D86D" w14:textId="6F6CE05E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9BA18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Program akreditasyonlarında yönetimin desteğinin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formal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bir yapıya dönüştürülmesi.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50528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1.6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3B296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-Akreditasyon süreçlerini teşvik etmek ve desteklemek üzere Akreditasyon Destek Yönergesini hazırlamak ve yürürlüğe koymak.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-Akreditasyon için hazırlık yapan birimlere bütçe ve personel desteği için bir havuz/komisyon oluşturmak.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7036E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Üniversite Kalite Komisyonu</w:t>
            </w:r>
          </w:p>
        </w:tc>
      </w:tr>
      <w:tr w:rsidR="00E63DDE" w:rsidRPr="005D783C" w14:paraId="13193427" w14:textId="77777777" w:rsidTr="005D783C">
        <w:trPr>
          <w:trHeight w:val="229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61F2D" w14:textId="77CC03F5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6E90D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Öğrenci merkezli öğrenme ve eğitim politikası faaliyetlerinde tüm kurumu kapsayacak şekilde tanımlı ortak politikalara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yönelinmesi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75A2F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B.2.1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A.1.4.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B9B56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-Öğrenci merkezli öğrenmeyi destekleyen Kurumsal Eğitim-Öğretim Politikasını belirlemek ve tüm birimlerde uygulanmasını sağlamak.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-Öğretim üyelerinin aktif öğrenme yöntemleri konusundaki yetkinliğini geliştirmek için hizmet içi eğitimler planlamak.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2F90D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Koordinatörlüğü, Sürekli Eğitim Merkezi</w:t>
            </w:r>
          </w:p>
        </w:tc>
      </w:tr>
      <w:tr w:rsidR="00E63DDE" w:rsidRPr="005D783C" w14:paraId="4EDD13A9" w14:textId="77777777" w:rsidTr="005D783C">
        <w:trPr>
          <w:trHeight w:val="229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27A22" w14:textId="47BC38B0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lastRenderedPageBreak/>
              <w:t>B4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44C83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Kurumda öğrenci danışmanlık sistemi uygulamalarının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formal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şekilde yürütülmesi ve değerlendirilmesi.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7EF1D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B.3.2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B.2.3.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D2E36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-Akademik Danışmanlık Yönergesini/Usul ve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Esasları'nı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güncelleyerek danışmanlık saatlerini, görev ve sorumlulukları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formalize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etmek.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-Danışmanlık hizmetlerinin etkinliğini ölçmek için düzenli olarak öğrenci memnuniyet anketleri uygulamak ve sonuçları iyileştirmeye yansıtmak.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29F11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Öğrenci İşleri Daire Başkanlığı, Kalite Koordinatörlüğü</w:t>
            </w:r>
          </w:p>
        </w:tc>
      </w:tr>
      <w:tr w:rsidR="00E63DDE" w:rsidRPr="005D783C" w14:paraId="7802A760" w14:textId="77777777" w:rsidTr="005D783C">
        <w:trPr>
          <w:trHeight w:val="115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814FC" w14:textId="5B2B6F06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9D22C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Kurumda önceki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non-formal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ve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informal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öğrenmelerin tanınması için tanımlı süreçlerin tesis edilmesi.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0DEE3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2.3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3A2E0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-Önceki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non-formal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ve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informal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öğrenmelerin tanınmasına yönelik bir Yönerge Taslağı hazırlamak ve onay sürecine sunmak.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C4152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Öğrenci İşleri Daire Başkanlığı</w:t>
            </w:r>
          </w:p>
        </w:tc>
      </w:tr>
      <w:tr w:rsidR="00E63DDE" w:rsidRPr="005D783C" w14:paraId="04CDA704" w14:textId="77777777" w:rsidTr="005D783C">
        <w:trPr>
          <w:trHeight w:val="172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F4970" w14:textId="15CD4543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10B77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Kurumda eğiticinin eğitimi programının uygulamaya alınması.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1A126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4.2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FE085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-Eğiticinin Eğitimi Programı (EEP) müfredatını oluşturmak ve uygulamaya yönelik bir takvim belirlemek.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-Eğiticinin eğitimi programlarına katılımın zorunlu/teşvik edici bir politika ile güvence altına alınmasını sağlamak.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528DE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Sürekli Eğitim Merkezi, Kalite Koordinatörlüğü</w:t>
            </w:r>
          </w:p>
        </w:tc>
      </w:tr>
      <w:tr w:rsidR="00E63DDE" w:rsidRPr="005D783C" w14:paraId="33B01B89" w14:textId="77777777" w:rsidTr="005D783C">
        <w:trPr>
          <w:trHeight w:val="229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CFA2D" w14:textId="7A987710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67341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Öğrencinin başarısını ölçme ve değerlendirmede (BDY), devamsızlık ve sınav yönetmeliklerinin tanımlı olması ve WEB ortamında ilan edilmesi.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05576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1.1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B6955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-Bologna, Ölçme değerlendirme, Program geliştirme vb. eğitim öğretim süreçlerine ilişkin yıl içinde düzenli bilgilendirme yapılması.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-BDY süreçlerinin etkinlik düzeyini artırmaya yönelik birimlere sözlü sunum/iletişim kabiliyetleri geliştirme konularında önerilerde bulunma.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4B713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</w:t>
            </w:r>
          </w:p>
        </w:tc>
      </w:tr>
      <w:tr w:rsidR="00E63DDE" w:rsidRPr="005D783C" w14:paraId="20637D3A" w14:textId="77777777" w:rsidTr="005D783C">
        <w:trPr>
          <w:trHeight w:val="1440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06BAF" w14:textId="1A0B9DC5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lastRenderedPageBreak/>
              <w:t>B8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FB80B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Özel yaklaşım gerektiren öğrenciler için mevcut düzenlemelerin ve özel hizmetlerin olması.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462EE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3.4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40248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-Engellilerin ihtiyaç duyduğu düzenlemeler konusunda yapılan iyi çalışmaların tüm yerleşkelerde yaygınlaştırılması.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-Görme engellilere yönelik sarı şeritlerin yaygınlaştırılması/bozulanların yenilenmesi.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83203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Engelsiz Yaşam Merkezi, Yapı İşleri ve Teknik Daire Başkanlığı</w:t>
            </w:r>
          </w:p>
        </w:tc>
      </w:tr>
      <w:tr w:rsidR="00E63DDE" w:rsidRPr="005D783C" w14:paraId="7AA2F254" w14:textId="77777777" w:rsidTr="005D783C">
        <w:trPr>
          <w:trHeight w:val="2010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7CF45" w14:textId="660ADB5E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7628F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Sosyal, kültürel, sportif faaliyetler için tesis ve altyapıların (yüzme havuzu, tenis kortu, stadyum vb.) Üniversite Yönetimi tarafından desteklenmesi.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CCF47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3.3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8D3FF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-Sosyal alanlara ait yapılabilecek iyileştirmelerin saptanması (Sadece Merkez Kampüs değil, birim bazında yapılacakların da saptanması).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-Merkez kampüs dışı yerleşkelerde hizmet veren yemekhanelerin fiziksel ve hizmet kalitesine yönelik çalışmaların yürütülmesi.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9CB8E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İdari ve Mali İşler Daire Başkanlığı, Sağlık, Kültür ve Spor Daire Başkanlığı</w:t>
            </w:r>
          </w:p>
        </w:tc>
      </w:tr>
      <w:tr w:rsidR="00E63DDE" w:rsidRPr="005D783C" w14:paraId="5FB4BF2C" w14:textId="77777777" w:rsidTr="005D783C">
        <w:trPr>
          <w:trHeight w:val="2295"/>
        </w:trPr>
        <w:tc>
          <w:tcPr>
            <w:tcW w:w="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7885C" w14:textId="7AEC9E9B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B10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71766" w14:textId="77777777" w:rsidR="00E63DDE" w:rsidRPr="005D783C" w:rsidRDefault="00E63DDE" w:rsidP="00E63DDE">
            <w:pPr>
              <w:ind w:firstLineChars="6" w:firstLine="13"/>
              <w:rPr>
                <w:rFonts w:ascii="Arial" w:hAnsi="Arial" w:cs="Arial"/>
                <w:color w:val="1B1C1D"/>
                <w:sz w:val="22"/>
                <w:szCs w:val="22"/>
              </w:rPr>
            </w:pP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Öğrenci iş yükü esaslı kredi transfer sisteminin uluslararası hareketlilik programlarında kullanılması.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98610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A.</w:t>
            </w:r>
            <w:proofErr w:type="gram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5.1</w:t>
            </w:r>
            <w:proofErr w:type="gram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8DDC4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-Yapılan Akademik İş Birliği Protokollerine ve Değişim Programları Anlaşmalarına paydaş birimlerle toplantılar gerçekleştirilerek işlevsellik kazandırılması.</w:t>
            </w: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br/>
              <w:t>-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Erasmus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hareketliliğine katılımı teşvik etmek üzere </w:t>
            </w:r>
            <w:proofErr w:type="spellStart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Erasmus</w:t>
            </w:r>
            <w:proofErr w:type="spellEnd"/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 xml:space="preserve"> Koordinatörleri ile toplantılar düzenlenerek sonuçlarının raporlanması.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08CC2" w14:textId="77777777" w:rsidR="00E63DDE" w:rsidRPr="005D783C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5D783C">
              <w:rPr>
                <w:rFonts w:ascii="Arial" w:hAnsi="Arial" w:cs="Arial"/>
                <w:color w:val="1B1C1D"/>
                <w:sz w:val="22"/>
                <w:szCs w:val="22"/>
              </w:rPr>
              <w:t>Dış İlişkiler Ofisi</w:t>
            </w:r>
          </w:p>
        </w:tc>
      </w:tr>
    </w:tbl>
    <w:p w14:paraId="7CE4FB51" w14:textId="77777777" w:rsidR="005D783C" w:rsidRDefault="005D783C" w:rsidP="005D783C">
      <w:bookmarkStart w:id="0" w:name="_GoBack"/>
      <w:bookmarkEnd w:id="0"/>
    </w:p>
    <w:p w14:paraId="3FD953E5" w14:textId="77777777" w:rsidR="005D783C" w:rsidRDefault="005D783C" w:rsidP="005D783C"/>
    <w:p w14:paraId="7FA8BADA" w14:textId="77777777" w:rsidR="0009316B" w:rsidRPr="0009316B" w:rsidRDefault="0009316B" w:rsidP="0009316B">
      <w:pPr>
        <w:jc w:val="center"/>
      </w:pPr>
      <w:r>
        <w:br w:type="page"/>
      </w:r>
      <w:r>
        <w:rPr>
          <w:i/>
          <w:noProof/>
          <w:sz w:val="72"/>
        </w:rPr>
        <w:lastRenderedPageBreak/>
        <w:drawing>
          <wp:inline distT="0" distB="0" distL="0" distR="0" wp14:anchorId="11438EB5" wp14:editId="67C67E95">
            <wp:extent cx="2533650" cy="2489077"/>
            <wp:effectExtent l="0" t="0" r="0" b="6985"/>
            <wp:docPr id="1278630956" name="Resim 127863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22" cy="249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153622" w14:textId="77777777" w:rsidR="0009316B" w:rsidRDefault="0009316B" w:rsidP="0009316B">
      <w:pPr>
        <w:spacing w:before="645"/>
        <w:ind w:left="1"/>
        <w:jc w:val="center"/>
        <w:rPr>
          <w:i/>
          <w:sz w:val="72"/>
        </w:rPr>
      </w:pPr>
      <w:r>
        <w:rPr>
          <w:i/>
          <w:sz w:val="72"/>
        </w:rPr>
        <w:t xml:space="preserve">KALİTE İYİLEŞTİRME </w:t>
      </w:r>
      <w:r>
        <w:rPr>
          <w:i/>
          <w:spacing w:val="-2"/>
          <w:sz w:val="72"/>
        </w:rPr>
        <w:t>PLANI</w:t>
      </w:r>
    </w:p>
    <w:p w14:paraId="53CA706C" w14:textId="7C814213" w:rsidR="0009316B" w:rsidRDefault="0009316B" w:rsidP="0009316B">
      <w:pPr>
        <w:tabs>
          <w:tab w:val="left" w:pos="1608"/>
          <w:tab w:val="left" w:pos="14063"/>
        </w:tabs>
        <w:jc w:val="center"/>
        <w:rPr>
          <w:i/>
          <w:sz w:val="72"/>
        </w:rPr>
      </w:pPr>
      <w:r>
        <w:rPr>
          <w:i/>
          <w:color w:val="000000"/>
          <w:sz w:val="72"/>
          <w:shd w:val="clear" w:color="auto" w:fill="DE7368"/>
        </w:rPr>
        <w:t>Araştırma ve Geliştirme</w:t>
      </w:r>
    </w:p>
    <w:p w14:paraId="10EA1809" w14:textId="1847B04F" w:rsidR="0009316B" w:rsidRDefault="0009316B"/>
    <w:tbl>
      <w:tblPr>
        <w:tblW w:w="14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646"/>
        <w:gridCol w:w="1276"/>
        <w:gridCol w:w="6058"/>
        <w:gridCol w:w="2872"/>
      </w:tblGrid>
      <w:tr w:rsidR="00804457" w:rsidRPr="00804457" w14:paraId="1D34B31B" w14:textId="77777777" w:rsidTr="00804457">
        <w:trPr>
          <w:trHeight w:val="615"/>
          <w:tblHeader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A2DE19B" w14:textId="2EB92C6D" w:rsidR="00804457" w:rsidRPr="00804457" w:rsidRDefault="00804457" w:rsidP="00804457">
            <w:pPr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lastRenderedPageBreak/>
              <w:t>III. Araştırma ve Geliştirme</w:t>
            </w:r>
          </w:p>
        </w:tc>
      </w:tr>
      <w:tr w:rsidR="00804457" w:rsidRPr="00804457" w14:paraId="7BD20673" w14:textId="77777777" w:rsidTr="00804457">
        <w:trPr>
          <w:trHeight w:val="615"/>
          <w:tblHeader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35EA1CF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No</w:t>
            </w:r>
          </w:p>
        </w:tc>
        <w:tc>
          <w:tcPr>
            <w:tcW w:w="3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0724FFA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Gelişmeye Açık Yön (Dayanak)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C72F221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YÖKAK Alt Ölçüt</w:t>
            </w:r>
          </w:p>
        </w:tc>
        <w:tc>
          <w:tcPr>
            <w:tcW w:w="6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0BF9A54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İyileştirme Faaliyeti</w:t>
            </w:r>
          </w:p>
        </w:tc>
        <w:tc>
          <w:tcPr>
            <w:tcW w:w="2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1906726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Sorumlu Birim</w:t>
            </w:r>
          </w:p>
        </w:tc>
      </w:tr>
      <w:tr w:rsidR="00804457" w:rsidRPr="00804457" w14:paraId="742E6651" w14:textId="77777777" w:rsidTr="00804457">
        <w:trPr>
          <w:trHeight w:val="286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E6E53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B4C6E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Araştırma-geliştirme süreçleri ile eğitim-öğretim süreçlerinin bütünleştirilmesine yönelik ortak bir politika oluşturulması.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FEF7B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C.1.3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B.1.6.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2FB28" w14:textId="210107C0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-Öğrenci araştırmacılığı ve projelerle desteklenen faaliyetleri teşvik etmek için Öğrenci Araştırma Projeleri Desteği Yönergesi hazırlamak.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D38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Araştırma ve Uygulama Merkezi, Akademik Birimler</w:t>
            </w:r>
          </w:p>
        </w:tc>
      </w:tr>
      <w:tr w:rsidR="00804457" w:rsidRPr="00804457" w14:paraId="08FD3AE9" w14:textId="77777777" w:rsidTr="00804457">
        <w:trPr>
          <w:trHeight w:val="201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81DA0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541B1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Araştırmacıların iç ve dış paydaşlarla işbirliğini </w:t>
            </w:r>
            <w:proofErr w:type="spell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formal</w:t>
            </w:r>
            <w:proofErr w:type="spell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yöntemler ile sağlaması ve raporlandırma ve verilere dayalı değerlendirme aşamalarının tamamlanması.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5F079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C.2.1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A.4.2., D.1.2.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7559B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-İç ve dış paydaşlarla (Sanayi, STK, Diğer Üniversiteler) yapılan iş birliklerini standartlaştıran İş Birliği Protokolü Taslağı hazırlamak.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>-Yapılan iş birliklerinin sonuçlarının raporlanması ve verilere dayalı değerlendirilmesi için bir format oluşturmak.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BFAB1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Bilimsel Araştırma Projeleri Birimi (BAP), Uluslararası Ofis</w:t>
            </w:r>
          </w:p>
        </w:tc>
      </w:tr>
      <w:tr w:rsidR="00E63DDE" w:rsidRPr="00804457" w14:paraId="3B469821" w14:textId="77777777" w:rsidTr="00804457">
        <w:trPr>
          <w:trHeight w:val="201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A1D19" w14:textId="6C3A3922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B393A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Mevcut teşviklerin yeterliliğinin ve etkililiğinin ölçülmesi.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F2431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C.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1.2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C0F2A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-Mevcut teşviklerin (maddi ödüller, kongre katılımları vb.) araştırmacı memnuniyeti ve araştırma çıktılarının artışına olan etkisini ölçmek için Teşvik Etkililik Anketleri uygulamak.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>-Anket sonuçlarına göre teşvik sistemini güncellemek.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EB446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BAP, Kalite Koordinatörlüğü</w:t>
            </w:r>
          </w:p>
        </w:tc>
      </w:tr>
      <w:tr w:rsidR="00E63DDE" w:rsidRPr="00804457" w14:paraId="37B8598B" w14:textId="77777777" w:rsidTr="00804457">
        <w:trPr>
          <w:trHeight w:val="229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6F465" w14:textId="1D3E9044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lastRenderedPageBreak/>
              <w:t>C4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A8855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Tüm birimlerde araştırma performansının takibi ve bu performansın kurum hedeflerine ulaşmadaki yeterliliğinin yapılandırılmış yöntemler ile gözden geçirilerek iyileştirilme çalışmaları gerçekleştirilmesi.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CDCDA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C.1.1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C.2.2.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164F8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-Birimlerin araştırma performansını, kurumsal hedefler (stratejik plan) ile karşılaştıran Birim Araştırma Performans Değerlendirme Formunu standartlaştırmak.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>-Performans değerlendirme sonuçlarına göre iyileştirme eylem planları hazırlanmasını tüm birimler için zorunlu kılmak.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B6CC3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Üniversite Kalite Komisyonu</w:t>
            </w:r>
          </w:p>
        </w:tc>
      </w:tr>
      <w:tr w:rsidR="00E63DDE" w:rsidRPr="00804457" w14:paraId="3153E416" w14:textId="77777777" w:rsidTr="00804457">
        <w:trPr>
          <w:trHeight w:val="201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75C9C" w14:textId="4540D6D8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890B5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Kurumun araştırma stratejisi ve hedeflerinin bulunması.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446E5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C.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1.1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0A28B" w14:textId="4F1FEFAC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-KİDR/Memnuniyet Anketi Raporları sonuçlarının birim yöneticileri ve birim kalite komisyonları ile değerlendirilmesi.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8A94E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Koordinatörlüğü, Kalite Alt Komisyonu</w:t>
            </w:r>
          </w:p>
        </w:tc>
      </w:tr>
      <w:tr w:rsidR="00E63DDE" w:rsidRPr="00804457" w14:paraId="29082CFC" w14:textId="77777777" w:rsidTr="00804457">
        <w:trPr>
          <w:trHeight w:val="201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1F628" w14:textId="1754B68A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D5864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Araştırma-geliştirme süreçleri ile toplumsal katkı süreçlerinin bütünleştirildiği alanlar ve hedeflerin belirtilmesi.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4B18C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C.2.3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D.1.1.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C0AB3" w14:textId="3BE220BC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-Araştırma süreçlerinde planlama, uygulama, kontrol etme ve önlem alma (PUKÖ) döngülerinin kapatılması.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32967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Koordinatörlüğü, Kalite Alt Komisyonu</w:t>
            </w:r>
          </w:p>
        </w:tc>
      </w:tr>
      <w:tr w:rsidR="00E63DDE" w:rsidRPr="00804457" w14:paraId="471E6A11" w14:textId="77777777" w:rsidTr="00804457">
        <w:trPr>
          <w:trHeight w:val="172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28DD9" w14:textId="12EF99CD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lastRenderedPageBreak/>
              <w:t>C7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8908E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Dış paydaş iş birliğine dayalı kaynak planlama ve tedarik politikası.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E5F72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C.1.2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A.4.2.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05350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-Dış paydaşlarla ilgili her türlü çalışmanın kayıtlara gireceği “Danışma Kurulları Yönergesi” hazırlanması.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>-Birim Danışma Kurullarının iç ve dış paydaşlardan oluşacak şekilde gözden geçirilerek aktif hale getirilmesi.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8CEB2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Üniversite Kalite Komisyonu, Tüm Birimler</w:t>
            </w:r>
          </w:p>
        </w:tc>
      </w:tr>
      <w:tr w:rsidR="00E63DDE" w:rsidRPr="00804457" w14:paraId="303C5D48" w14:textId="77777777" w:rsidTr="00804457">
        <w:trPr>
          <w:trHeight w:val="286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7DB20" w14:textId="558B54D6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E495F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Kurum dışı fonları kullanmaları için araştırmacıları teşvik etme (bilgilendirme toplantıları vb.).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186F9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C.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2.2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3C08A" w14:textId="643C7314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-Akademik verilerin, öğretim elemanlarının performanslarını saptama, izleme ve ödüllendirme süreçlerinde kullanımının yaygınlaştırılması amacıyla akademik performans sonuçlarının akademik teşvik süreçlerinde kullanılması.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E7647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Koordinatörlüğü, Kalite Alt Komisyonu</w:t>
            </w:r>
          </w:p>
        </w:tc>
      </w:tr>
    </w:tbl>
    <w:p w14:paraId="7CE06A0C" w14:textId="77777777" w:rsidR="005D783C" w:rsidRDefault="005D783C" w:rsidP="005D783C"/>
    <w:p w14:paraId="60C85E03" w14:textId="3D51559B" w:rsidR="0009316B" w:rsidRPr="0009316B" w:rsidRDefault="0009316B" w:rsidP="0009316B">
      <w:pPr>
        <w:jc w:val="center"/>
      </w:pPr>
      <w:r>
        <w:br w:type="page"/>
      </w:r>
      <w:r>
        <w:rPr>
          <w:i/>
          <w:noProof/>
          <w:sz w:val="72"/>
        </w:rPr>
        <w:lastRenderedPageBreak/>
        <w:drawing>
          <wp:inline distT="0" distB="0" distL="0" distR="0" wp14:anchorId="306E68F5" wp14:editId="16BD5553">
            <wp:extent cx="2533650" cy="2489077"/>
            <wp:effectExtent l="0" t="0" r="0" b="6985"/>
            <wp:docPr id="430162333" name="Resim 43016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22" cy="249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B75C8" w14:textId="77777777" w:rsidR="0009316B" w:rsidRDefault="0009316B" w:rsidP="0009316B">
      <w:pPr>
        <w:spacing w:before="645"/>
        <w:ind w:left="1"/>
        <w:jc w:val="center"/>
        <w:rPr>
          <w:i/>
          <w:sz w:val="72"/>
        </w:rPr>
      </w:pPr>
      <w:r>
        <w:rPr>
          <w:i/>
          <w:sz w:val="72"/>
        </w:rPr>
        <w:t xml:space="preserve">KALİTE İYİLEŞTİRME </w:t>
      </w:r>
      <w:r>
        <w:rPr>
          <w:i/>
          <w:spacing w:val="-2"/>
          <w:sz w:val="72"/>
        </w:rPr>
        <w:t>PLANI</w:t>
      </w:r>
    </w:p>
    <w:p w14:paraId="75722137" w14:textId="155AD2A5" w:rsidR="0009316B" w:rsidRDefault="0009316B" w:rsidP="0009316B">
      <w:pPr>
        <w:tabs>
          <w:tab w:val="left" w:pos="1608"/>
          <w:tab w:val="left" w:pos="14063"/>
        </w:tabs>
        <w:jc w:val="center"/>
        <w:rPr>
          <w:i/>
          <w:sz w:val="72"/>
        </w:rPr>
      </w:pPr>
      <w:r>
        <w:rPr>
          <w:i/>
          <w:color w:val="000000"/>
          <w:sz w:val="72"/>
          <w:shd w:val="clear" w:color="auto" w:fill="DE7368"/>
        </w:rPr>
        <w:t>Toplumsal Katkı</w:t>
      </w:r>
    </w:p>
    <w:p w14:paraId="3D50D356" w14:textId="36713797" w:rsidR="0009316B" w:rsidRDefault="0009316B"/>
    <w:p w14:paraId="6974F9F3" w14:textId="77777777" w:rsidR="0009316B" w:rsidRDefault="0009316B"/>
    <w:tbl>
      <w:tblPr>
        <w:tblW w:w="14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646"/>
        <w:gridCol w:w="1276"/>
        <w:gridCol w:w="6058"/>
        <w:gridCol w:w="2872"/>
      </w:tblGrid>
      <w:tr w:rsidR="00804457" w:rsidRPr="00804457" w14:paraId="7F27FD54" w14:textId="77777777" w:rsidTr="00804457">
        <w:trPr>
          <w:trHeight w:val="615"/>
          <w:tblHeader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743CD4D" w14:textId="05D0D43C" w:rsidR="00804457" w:rsidRPr="00804457" w:rsidRDefault="00804457" w:rsidP="00804457">
            <w:pPr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lastRenderedPageBreak/>
              <w:t>IV. Toplumsal Katkı</w:t>
            </w:r>
          </w:p>
        </w:tc>
      </w:tr>
      <w:tr w:rsidR="00804457" w:rsidRPr="00804457" w14:paraId="6731F809" w14:textId="77777777" w:rsidTr="00804457">
        <w:trPr>
          <w:trHeight w:val="615"/>
          <w:tblHeader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FF27822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No</w:t>
            </w:r>
          </w:p>
        </w:tc>
        <w:tc>
          <w:tcPr>
            <w:tcW w:w="3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3F79B47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Gelişmeye Açık Yön (Dayanak)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D0CAE10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YÖKAK Alt Ölçüt</w:t>
            </w:r>
          </w:p>
        </w:tc>
        <w:tc>
          <w:tcPr>
            <w:tcW w:w="6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A7E694B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İyileştirme Faaliyeti</w:t>
            </w:r>
          </w:p>
        </w:tc>
        <w:tc>
          <w:tcPr>
            <w:tcW w:w="2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E9A0EAE" w14:textId="77777777" w:rsidR="00804457" w:rsidRPr="00804457" w:rsidRDefault="00804457" w:rsidP="00804457">
            <w:pPr>
              <w:jc w:val="center"/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b/>
                <w:bCs/>
                <w:color w:val="1B1C1D"/>
                <w:sz w:val="22"/>
                <w:szCs w:val="22"/>
              </w:rPr>
              <w:t>Sorumlu Birim</w:t>
            </w:r>
          </w:p>
        </w:tc>
      </w:tr>
      <w:tr w:rsidR="00804457" w:rsidRPr="00804457" w14:paraId="65778A3E" w14:textId="77777777" w:rsidTr="00804457">
        <w:trPr>
          <w:trHeight w:val="229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54E69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D1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DBD26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Toplumsal katkı süreçlerinde PUKÖ döngüsünün henüz başlangıç aşamasında olması ve çevrimin kapatılamaması.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E650D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A.1.4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D.1.1.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77312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-Toplumsal katkı süreçlerinin yönetimini ve </w:t>
            </w:r>
            <w:proofErr w:type="spell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organizasyonel</w:t>
            </w:r>
            <w:proofErr w:type="spell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yapısını kurmak için Toplumsal Katkı Alt Komisyonunun kurulmasını sağlamak.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>-Toplumsal katkı faaliyetlerinin yürütülmesi, izlenmesi, raporlanması ve iyileştirilmesi için PUKÖ döngüsü rehberi oluşturmak ve tüm birimlere yaymak.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66116" w14:textId="77777777" w:rsidR="00804457" w:rsidRPr="00804457" w:rsidRDefault="00804457" w:rsidP="00804457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</w:t>
            </w:r>
          </w:p>
        </w:tc>
      </w:tr>
      <w:tr w:rsidR="00E63DDE" w:rsidRPr="00804457" w14:paraId="5F45FF9E" w14:textId="77777777" w:rsidTr="00804457">
        <w:trPr>
          <w:trHeight w:val="258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51196" w14:textId="2E6F628D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D2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07AF6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Topluma sunulan hizmetlerin (eğitim, danışmanlık, vb.) çeşitliliğinin ve görünürlüğünün artırılması gerekliliği.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A168B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D.2.1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D.2.2.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FB0FA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-Bölgesel gelişmeye katkı sağlanması amacıyla ekonomik, sosyal, kültürel, eğitim ve teknoloji alanlarında bilimsel araştırma ve danışmanlık sayısının artırılması.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 xml:space="preserve">-Topluma yönelik eğitim, </w:t>
            </w:r>
            <w:proofErr w:type="spell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çalıştay</w:t>
            </w:r>
            <w:proofErr w:type="spell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, danışmanlıklar, rapor/kılavuz vb. doküman ve mobil uygulama çalışmalarının artırılarak toplumsal katkı hizmetlerinin geliştirilerek yaygınlaştırılması.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568E6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Koordinatörlüğü, Uygulama ve Araştırma Merkezleri (</w:t>
            </w:r>
            <w:proofErr w:type="spell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UYGARlar</w:t>
            </w:r>
            <w:proofErr w:type="spell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)</w:t>
            </w:r>
          </w:p>
        </w:tc>
      </w:tr>
      <w:tr w:rsidR="00E63DDE" w:rsidRPr="00804457" w14:paraId="37E45DFA" w14:textId="77777777" w:rsidTr="00804457">
        <w:trPr>
          <w:trHeight w:val="229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C35DB" w14:textId="4F3E0695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D3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AC3CA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Yerel yönetimler, STK'lar gibi kurumların kurumsal gelişime sosyal sorumluluk projeleri çerçevelerinde katkıda bulunuyor olması.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5DCD3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D.1.1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D.1.2.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54639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-Kurumda bilim, kültür ve sanat topluluklarının faaliyetlerinin yeterliliğini artırmak ve özellikle sosyal yardım organizasyonlarında öğrencileri elçi olarak görevlendirmek.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>-Toplumsal katkı politikasına uygun olarak toplumsal katkı konusunda öncelikli alanlar listesi belirlemek.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3BBB2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Sağlık, Kültür ve Spor Daire Başkanlığı, Kalite Koordinatörlüğü</w:t>
            </w:r>
          </w:p>
        </w:tc>
      </w:tr>
      <w:tr w:rsidR="00E63DDE" w:rsidRPr="00804457" w14:paraId="212CA159" w14:textId="77777777" w:rsidTr="00804457">
        <w:trPr>
          <w:trHeight w:val="201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61025" w14:textId="2A0A95D1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lastRenderedPageBreak/>
              <w:t>D4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62A7D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Kurumun Celal Oruç Hayvansal Üretim Yüksekokulu sayesinde bölgedeki hayvancılık faaliyetlerine destek sağlaması.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8EF73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D.2.1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D.2.2.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6FA27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-UYGAR Merkezlerinin, faaliyetlerinin toplumsal katkı ifadesinin yer alacağı şekilde açıklanması ve görünürlüğünün artırılması.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>-Tarım ve hayvancılığın geliştirilmesi amacıyla projeler hazırlamak ve bölge halkına her yıl 1 adet eğitim düzenlemek.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768CF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Celal Oruç Hay. </w:t>
            </w:r>
            <w:proofErr w:type="spellStart"/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Ür</w:t>
            </w:r>
            <w:proofErr w:type="spell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 Yük. Okulu, Kalite Koordinatörlüğü</w:t>
            </w:r>
          </w:p>
        </w:tc>
      </w:tr>
      <w:tr w:rsidR="00E63DDE" w:rsidRPr="00804457" w14:paraId="66F06C7B" w14:textId="77777777" w:rsidTr="00804457">
        <w:trPr>
          <w:trHeight w:val="229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68622" w14:textId="02783474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D5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4A608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Eğitim, araştırma ve geliştirme faaliyetleri ile ilgili güncel verilerin sosyal sorumluluk projeleri, 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sempozyum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, kongre vb. toplantılar ile kamuoyuyla paylaşılması.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27F64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A.2.3</w:t>
            </w:r>
            <w:proofErr w:type="gramStart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.,</w:t>
            </w:r>
            <w:proofErr w:type="gramEnd"/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 xml:space="preserve"> D.1.2.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DC3D2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-Toplumsal katkı politikası doğrultusunda üretilen ve toplumsal fayda sağlayabilecek dönem sonu projelerinin sergiler düzenlenerek iç ve dış paydaşlar tarafından izlenebilmesinin sağlanması.</w:t>
            </w: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br/>
              <w:t>-Üniversitemizdeki birimlerin iyi uygulama örneği olarak seçilmiş faaliyetlerine Toplumsal Katkı ödülleri verilmesi.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E145F" w14:textId="77777777" w:rsidR="00E63DDE" w:rsidRPr="00804457" w:rsidRDefault="00E63DDE" w:rsidP="00E63DDE">
            <w:pPr>
              <w:rPr>
                <w:rFonts w:ascii="Arial" w:hAnsi="Arial" w:cs="Arial"/>
                <w:color w:val="1B1C1D"/>
                <w:sz w:val="22"/>
                <w:szCs w:val="22"/>
              </w:rPr>
            </w:pPr>
            <w:r w:rsidRPr="00804457">
              <w:rPr>
                <w:rFonts w:ascii="Arial" w:hAnsi="Arial" w:cs="Arial"/>
                <w:color w:val="1B1C1D"/>
                <w:sz w:val="22"/>
                <w:szCs w:val="22"/>
              </w:rPr>
              <w:t>Kalite Koordinatörlüğü, Tüm Birimler</w:t>
            </w:r>
          </w:p>
        </w:tc>
      </w:tr>
    </w:tbl>
    <w:p w14:paraId="25D84669" w14:textId="77777777" w:rsidR="00804457" w:rsidRPr="005D783C" w:rsidRDefault="00804457" w:rsidP="005D783C"/>
    <w:sectPr w:rsidR="00804457" w:rsidRPr="005D783C" w:rsidSect="00F808C8">
      <w:footerReference w:type="default" r:id="rId10"/>
      <w:pgSz w:w="16838" w:h="11906" w:orient="landscape"/>
      <w:pgMar w:top="1418" w:right="1418" w:bottom="1418" w:left="1134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78CE6" w14:textId="77777777" w:rsidR="003E7D90" w:rsidRDefault="003E7D90">
      <w:r>
        <w:separator/>
      </w:r>
    </w:p>
  </w:endnote>
  <w:endnote w:type="continuationSeparator" w:id="0">
    <w:p w14:paraId="34F61468" w14:textId="77777777" w:rsidR="003E7D90" w:rsidRDefault="003E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FF38" w14:textId="6488D5E1" w:rsidR="0009316B" w:rsidRDefault="0009316B">
    <w:pPr>
      <w:pStyle w:val="GvdeMetni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629E" w14:textId="77777777"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75CD1" w14:textId="77777777" w:rsidR="003E7D90" w:rsidRDefault="003E7D90">
      <w:r>
        <w:separator/>
      </w:r>
    </w:p>
  </w:footnote>
  <w:footnote w:type="continuationSeparator" w:id="0">
    <w:p w14:paraId="7316E6A0" w14:textId="77777777" w:rsidR="003E7D90" w:rsidRDefault="003E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D7E"/>
    <w:multiLevelType w:val="hybridMultilevel"/>
    <w:tmpl w:val="95381968"/>
    <w:lvl w:ilvl="0" w:tplc="93F4A46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BCD"/>
    <w:multiLevelType w:val="hybridMultilevel"/>
    <w:tmpl w:val="1BA4C856"/>
    <w:lvl w:ilvl="0" w:tplc="93F4A46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83583"/>
    <w:multiLevelType w:val="hybridMultilevel"/>
    <w:tmpl w:val="4664C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2C"/>
    <w:rsid w:val="00006D6D"/>
    <w:rsid w:val="00011551"/>
    <w:rsid w:val="00041647"/>
    <w:rsid w:val="00056BFD"/>
    <w:rsid w:val="00062150"/>
    <w:rsid w:val="00066AD7"/>
    <w:rsid w:val="00077626"/>
    <w:rsid w:val="00086946"/>
    <w:rsid w:val="0009316B"/>
    <w:rsid w:val="000974B1"/>
    <w:rsid w:val="000A3A9D"/>
    <w:rsid w:val="000A5D09"/>
    <w:rsid w:val="000B70A7"/>
    <w:rsid w:val="001276ED"/>
    <w:rsid w:val="00131D32"/>
    <w:rsid w:val="00140514"/>
    <w:rsid w:val="001A31CF"/>
    <w:rsid w:val="001C74D2"/>
    <w:rsid w:val="001F37CA"/>
    <w:rsid w:val="00292813"/>
    <w:rsid w:val="002C6E7C"/>
    <w:rsid w:val="0032158B"/>
    <w:rsid w:val="0033649A"/>
    <w:rsid w:val="003D5407"/>
    <w:rsid w:val="003E35D5"/>
    <w:rsid w:val="003E7D90"/>
    <w:rsid w:val="00402EB9"/>
    <w:rsid w:val="00437036"/>
    <w:rsid w:val="00443D3B"/>
    <w:rsid w:val="0045052C"/>
    <w:rsid w:val="00466873"/>
    <w:rsid w:val="00476655"/>
    <w:rsid w:val="00480355"/>
    <w:rsid w:val="00484C70"/>
    <w:rsid w:val="004B2C79"/>
    <w:rsid w:val="004E0D53"/>
    <w:rsid w:val="004E5252"/>
    <w:rsid w:val="004F7641"/>
    <w:rsid w:val="00532C8C"/>
    <w:rsid w:val="00536DBE"/>
    <w:rsid w:val="00543C09"/>
    <w:rsid w:val="00552168"/>
    <w:rsid w:val="00593672"/>
    <w:rsid w:val="005D6CB1"/>
    <w:rsid w:val="005D783C"/>
    <w:rsid w:val="005E1B7F"/>
    <w:rsid w:val="005E30B6"/>
    <w:rsid w:val="005E4326"/>
    <w:rsid w:val="00601660"/>
    <w:rsid w:val="006061AF"/>
    <w:rsid w:val="00631C2C"/>
    <w:rsid w:val="00663612"/>
    <w:rsid w:val="00663D04"/>
    <w:rsid w:val="00685D40"/>
    <w:rsid w:val="006C3CE3"/>
    <w:rsid w:val="006D393A"/>
    <w:rsid w:val="006D4DAD"/>
    <w:rsid w:val="006D7618"/>
    <w:rsid w:val="006E52F0"/>
    <w:rsid w:val="007723F9"/>
    <w:rsid w:val="00790F80"/>
    <w:rsid w:val="007C4554"/>
    <w:rsid w:val="007D605C"/>
    <w:rsid w:val="007F4979"/>
    <w:rsid w:val="00804457"/>
    <w:rsid w:val="008377A0"/>
    <w:rsid w:val="00847A44"/>
    <w:rsid w:val="00873DEA"/>
    <w:rsid w:val="00881C1E"/>
    <w:rsid w:val="008873E6"/>
    <w:rsid w:val="00897041"/>
    <w:rsid w:val="00897647"/>
    <w:rsid w:val="008B103C"/>
    <w:rsid w:val="008F40C4"/>
    <w:rsid w:val="00904849"/>
    <w:rsid w:val="009140DA"/>
    <w:rsid w:val="00932A64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87643"/>
    <w:rsid w:val="00AC2D90"/>
    <w:rsid w:val="00AD79BE"/>
    <w:rsid w:val="00AF4FE0"/>
    <w:rsid w:val="00B06DC0"/>
    <w:rsid w:val="00B212C0"/>
    <w:rsid w:val="00B537E4"/>
    <w:rsid w:val="00B573D0"/>
    <w:rsid w:val="00B77232"/>
    <w:rsid w:val="00BC7D9C"/>
    <w:rsid w:val="00BD5AB0"/>
    <w:rsid w:val="00BF169D"/>
    <w:rsid w:val="00C30BFE"/>
    <w:rsid w:val="00C517C3"/>
    <w:rsid w:val="00C84147"/>
    <w:rsid w:val="00C857AA"/>
    <w:rsid w:val="00C9541C"/>
    <w:rsid w:val="00C97B4E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E04C2"/>
    <w:rsid w:val="00DF33C4"/>
    <w:rsid w:val="00E60D3E"/>
    <w:rsid w:val="00E63DDE"/>
    <w:rsid w:val="00EB1705"/>
    <w:rsid w:val="00ED6CCF"/>
    <w:rsid w:val="00EE4205"/>
    <w:rsid w:val="00EF063E"/>
    <w:rsid w:val="00F1328A"/>
    <w:rsid w:val="00F302EC"/>
    <w:rsid w:val="00F304E1"/>
    <w:rsid w:val="00F341B8"/>
    <w:rsid w:val="00F808C8"/>
    <w:rsid w:val="00FD4CD5"/>
    <w:rsid w:val="00FE0DE7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D9D0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table" w:customStyle="1" w:styleId="TableNormal">
    <w:name w:val="Table Normal"/>
    <w:uiPriority w:val="2"/>
    <w:semiHidden/>
    <w:unhideWhenUsed/>
    <w:qFormat/>
    <w:rsid w:val="00F808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08C8"/>
    <w:pPr>
      <w:ind w:left="720"/>
      <w:contextualSpacing/>
    </w:pPr>
  </w:style>
  <w:style w:type="paragraph" w:styleId="KonuBal">
    <w:name w:val="Title"/>
    <w:basedOn w:val="Normal"/>
    <w:link w:val="KonuBalChar"/>
    <w:uiPriority w:val="1"/>
    <w:qFormat/>
    <w:rsid w:val="0009316B"/>
    <w:pPr>
      <w:widowControl w:val="0"/>
      <w:autoSpaceDE w:val="0"/>
      <w:autoSpaceDN w:val="0"/>
      <w:spacing w:before="253"/>
      <w:jc w:val="center"/>
    </w:pPr>
    <w:rPr>
      <w:sz w:val="72"/>
      <w:szCs w:val="7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09316B"/>
    <w:rPr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1768</Words>
  <Characters>13881</Characters>
  <Application>Microsoft Office Word</Application>
  <DocSecurity>0</DocSecurity>
  <Lines>115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windows</cp:lastModifiedBy>
  <cp:revision>9</cp:revision>
  <cp:lastPrinted>2024-11-07T07:49:00Z</cp:lastPrinted>
  <dcterms:created xsi:type="dcterms:W3CDTF">2025-10-27T08:12:00Z</dcterms:created>
  <dcterms:modified xsi:type="dcterms:W3CDTF">2025-11-11T08:11:00Z</dcterms:modified>
</cp:coreProperties>
</file>